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140CF">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eastAsia="zh-CN"/>
        </w:rPr>
        <w:t>附件</w:t>
      </w:r>
      <w:r>
        <w:rPr>
          <w:rFonts w:hint="eastAsia" w:ascii="Times New Roman" w:hAnsi="Times New Roman" w:eastAsia="黑体" w:cs="Times New Roman"/>
          <w:sz w:val="32"/>
          <w:szCs w:val="32"/>
          <w:lang w:val="en-US" w:eastAsia="zh-CN"/>
        </w:rPr>
        <w:t>4</w:t>
      </w:r>
    </w:p>
    <w:p w14:paraId="03AD5AEC">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ascii="Times New Roman" w:hAnsi="Times New Roman" w:eastAsia="仿宋"/>
          <w:sz w:val="32"/>
          <w:szCs w:val="32"/>
        </w:rPr>
      </w:pPr>
    </w:p>
    <w:p w14:paraId="670C6FE4">
      <w:pPr>
        <w:spacing w:line="600" w:lineRule="exact"/>
        <w:jc w:val="center"/>
        <w:rPr>
          <w:rFonts w:hint="eastAsia" w:ascii="方正小标宋简体" w:hAnsi="方正小标宋简体" w:eastAsia="方正小标宋简体" w:cs="方正小标宋简体"/>
          <w:snapToGrid w:val="0"/>
          <w:spacing w:val="0"/>
          <w:sz w:val="44"/>
          <w:szCs w:val="44"/>
        </w:rPr>
      </w:pPr>
      <w:r>
        <w:rPr>
          <w:rFonts w:hint="eastAsia" w:ascii="方正小标宋简体" w:hAnsi="方正小标宋简体" w:eastAsia="方正小标宋简体" w:cs="方正小标宋简体"/>
          <w:snapToGrid w:val="0"/>
          <w:spacing w:val="0"/>
          <w:sz w:val="44"/>
          <w:szCs w:val="44"/>
        </w:rPr>
        <w:t>国家自然科学基金区域创新发展联合基金</w:t>
      </w:r>
    </w:p>
    <w:p w14:paraId="62BEFB8A">
      <w:pPr>
        <w:spacing w:line="600" w:lineRule="exact"/>
        <w:jc w:val="center"/>
        <w:rPr>
          <w:rFonts w:hint="eastAsia" w:ascii="方正小标宋简体" w:hAnsi="方正小标宋简体" w:eastAsia="方正小标宋简体" w:cs="方正小标宋简体"/>
          <w:snapToGrid w:val="0"/>
          <w:spacing w:val="0"/>
          <w:sz w:val="44"/>
          <w:szCs w:val="44"/>
        </w:rPr>
      </w:pPr>
      <w:r>
        <w:rPr>
          <w:rFonts w:hint="eastAsia" w:ascii="方正小标宋简体" w:hAnsi="方正小标宋简体" w:eastAsia="方正小标宋简体" w:cs="方正小标宋简体"/>
          <w:snapToGrid w:val="0"/>
          <w:spacing w:val="0"/>
          <w:sz w:val="44"/>
          <w:szCs w:val="44"/>
        </w:rPr>
        <w:t>（广西）202</w:t>
      </w:r>
      <w:r>
        <w:rPr>
          <w:rFonts w:hint="eastAsia" w:ascii="方正小标宋简体" w:hAnsi="方正小标宋简体" w:eastAsia="方正小标宋简体" w:cs="方正小标宋简体"/>
          <w:snapToGrid w:val="0"/>
          <w:spacing w:val="0"/>
          <w:sz w:val="44"/>
          <w:szCs w:val="44"/>
          <w:lang w:val="en-US" w:eastAsia="zh-CN"/>
        </w:rPr>
        <w:t>0</w:t>
      </w:r>
      <w:r>
        <w:rPr>
          <w:rFonts w:hint="eastAsia" w:ascii="方正小标宋简体" w:hAnsi="方正小标宋简体" w:eastAsia="方正小标宋简体" w:cs="方正小标宋简体"/>
          <w:snapToGrid w:val="0"/>
          <w:spacing w:val="0"/>
          <w:sz w:val="44"/>
          <w:szCs w:val="44"/>
          <w:lang w:eastAsia="zh-CN"/>
        </w:rPr>
        <w:t>—</w:t>
      </w:r>
      <w:r>
        <w:rPr>
          <w:rFonts w:hint="eastAsia" w:ascii="方正小标宋简体" w:hAnsi="方正小标宋简体" w:eastAsia="方正小标宋简体" w:cs="方正小标宋简体"/>
          <w:snapToGrid w:val="0"/>
          <w:spacing w:val="0"/>
          <w:sz w:val="44"/>
          <w:szCs w:val="44"/>
        </w:rPr>
        <w:t>202</w:t>
      </w:r>
      <w:r>
        <w:rPr>
          <w:rFonts w:hint="eastAsia" w:ascii="方正小标宋简体" w:hAnsi="方正小标宋简体" w:eastAsia="方正小标宋简体" w:cs="方正小标宋简体"/>
          <w:snapToGrid w:val="0"/>
          <w:spacing w:val="0"/>
          <w:sz w:val="44"/>
          <w:szCs w:val="44"/>
          <w:lang w:val="en-US" w:eastAsia="zh-CN"/>
        </w:rPr>
        <w:t>4</w:t>
      </w:r>
      <w:r>
        <w:rPr>
          <w:rFonts w:hint="eastAsia" w:ascii="方正小标宋简体" w:hAnsi="方正小标宋简体" w:eastAsia="方正小标宋简体" w:cs="方正小标宋简体"/>
          <w:snapToGrid w:val="0"/>
          <w:spacing w:val="0"/>
          <w:sz w:val="44"/>
          <w:szCs w:val="44"/>
        </w:rPr>
        <w:t>年度资助项目清单</w:t>
      </w:r>
    </w:p>
    <w:p w14:paraId="474DD3CD">
      <w:pPr>
        <w:pStyle w:val="2"/>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ascii="Times New Roman" w:hAnsi="Times New Roman"/>
        </w:rPr>
      </w:pPr>
    </w:p>
    <w:tbl>
      <w:tblPr>
        <w:tblStyle w:val="12"/>
        <w:tblW w:w="95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37"/>
        <w:gridCol w:w="3885"/>
        <w:gridCol w:w="1830"/>
        <w:gridCol w:w="3130"/>
      </w:tblGrid>
      <w:tr w14:paraId="36C70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blHeader/>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0B4770CB">
            <w:pPr>
              <w:keepNext w:val="0"/>
              <w:keepLines w:val="0"/>
              <w:widowControl/>
              <w:suppressLineNumbers w:val="0"/>
              <w:jc w:val="center"/>
              <w:textAlignment w:val="center"/>
              <w:rPr>
                <w:rFonts w:hint="eastAsia" w:ascii="Times New Roman" w:hAnsi="Times New Roman" w:eastAsia="黑体" w:cs="黑体"/>
                <w:i w:val="0"/>
                <w:color w:val="000000"/>
                <w:sz w:val="24"/>
                <w:szCs w:val="24"/>
                <w:u w:val="none"/>
              </w:rPr>
            </w:pPr>
            <w:r>
              <w:rPr>
                <w:rFonts w:hint="eastAsia" w:ascii="Times New Roman" w:hAnsi="Times New Roman" w:eastAsia="黑体" w:cs="黑体"/>
                <w:i w:val="0"/>
                <w:color w:val="000000"/>
                <w:kern w:val="0"/>
                <w:sz w:val="24"/>
                <w:szCs w:val="24"/>
                <w:u w:val="none"/>
                <w:lang w:val="en-US" w:eastAsia="zh-CN"/>
              </w:rPr>
              <w:t>序号</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793E2E8C">
            <w:pPr>
              <w:keepNext w:val="0"/>
              <w:keepLines w:val="0"/>
              <w:widowControl/>
              <w:suppressLineNumbers w:val="0"/>
              <w:jc w:val="center"/>
              <w:textAlignment w:val="center"/>
              <w:rPr>
                <w:rFonts w:hint="eastAsia" w:ascii="Times New Roman" w:hAnsi="Times New Roman" w:eastAsia="黑体" w:cs="黑体"/>
                <w:i w:val="0"/>
                <w:color w:val="000000"/>
                <w:sz w:val="24"/>
                <w:szCs w:val="24"/>
                <w:u w:val="none"/>
              </w:rPr>
            </w:pPr>
            <w:r>
              <w:rPr>
                <w:rFonts w:hint="eastAsia" w:ascii="Times New Roman" w:hAnsi="Times New Roman" w:eastAsia="黑体" w:cs="黑体"/>
                <w:i w:val="0"/>
                <w:color w:val="000000"/>
                <w:kern w:val="0"/>
                <w:sz w:val="24"/>
                <w:szCs w:val="24"/>
                <w:u w:val="none"/>
                <w:lang w:val="en-US" w:eastAsia="zh-CN"/>
              </w:rPr>
              <w:t>项目名称</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7F460B1A">
            <w:pPr>
              <w:keepNext w:val="0"/>
              <w:keepLines w:val="0"/>
              <w:widowControl/>
              <w:suppressLineNumbers w:val="0"/>
              <w:jc w:val="center"/>
              <w:textAlignment w:val="center"/>
              <w:rPr>
                <w:rFonts w:hint="eastAsia" w:ascii="Times New Roman" w:hAnsi="Times New Roman" w:eastAsia="黑体" w:cs="黑体"/>
                <w:i w:val="0"/>
                <w:color w:val="000000"/>
                <w:sz w:val="24"/>
                <w:szCs w:val="24"/>
                <w:u w:val="none"/>
              </w:rPr>
            </w:pPr>
            <w:r>
              <w:rPr>
                <w:rFonts w:hint="eastAsia" w:ascii="Times New Roman" w:hAnsi="Times New Roman" w:eastAsia="黑体" w:cs="黑体"/>
                <w:i w:val="0"/>
                <w:color w:val="000000"/>
                <w:kern w:val="0"/>
                <w:sz w:val="24"/>
                <w:szCs w:val="24"/>
                <w:u w:val="none"/>
                <w:lang w:val="en-US" w:eastAsia="zh-CN"/>
              </w:rPr>
              <w:t>依托单位</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56C1B850">
            <w:pPr>
              <w:keepNext w:val="0"/>
              <w:keepLines w:val="0"/>
              <w:widowControl/>
              <w:suppressLineNumbers w:val="0"/>
              <w:jc w:val="center"/>
              <w:textAlignment w:val="center"/>
              <w:rPr>
                <w:rFonts w:hint="eastAsia" w:ascii="Times New Roman" w:hAnsi="Times New Roman" w:eastAsia="黑体" w:cs="黑体"/>
                <w:i w:val="0"/>
                <w:color w:val="000000"/>
                <w:sz w:val="24"/>
                <w:szCs w:val="24"/>
                <w:u w:val="none"/>
              </w:rPr>
            </w:pPr>
            <w:r>
              <w:rPr>
                <w:rFonts w:hint="eastAsia" w:ascii="Times New Roman" w:hAnsi="Times New Roman" w:eastAsia="黑体" w:cs="黑体"/>
                <w:i w:val="0"/>
                <w:color w:val="000000"/>
                <w:kern w:val="0"/>
                <w:sz w:val="24"/>
                <w:szCs w:val="24"/>
                <w:u w:val="none"/>
                <w:lang w:val="en-US" w:eastAsia="zh-CN"/>
              </w:rPr>
              <w:t>合作单位</w:t>
            </w:r>
          </w:p>
        </w:tc>
      </w:tr>
      <w:tr w14:paraId="34547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61F373D6">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1</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7D433A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广西丝苗型优质杂交水稻外观品质的形成机制及分子设计育种</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6CFC6F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广西壮族自治区农业科学院</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1B5306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color w:val="000000"/>
                <w:kern w:val="0"/>
                <w:sz w:val="20"/>
                <w:szCs w:val="20"/>
                <w:u w:val="none"/>
                <w:lang w:val="en-US" w:eastAsia="zh-CN"/>
              </w:rPr>
              <w:t>浙江大学||广西绿海种业有</w:t>
            </w:r>
          </w:p>
          <w:p w14:paraId="518ED9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限公司</w:t>
            </w:r>
          </w:p>
        </w:tc>
      </w:tr>
      <w:tr w14:paraId="067C7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6CEAB653">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2</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548AC8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北部湾海洋微生物资源多样性评估、药用开发与利用的前期研究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18B62B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广西中医药大学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5871DD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中国科学院南海海洋研究所||中国科学院微生物研究所</w:t>
            </w:r>
          </w:p>
        </w:tc>
      </w:tr>
      <w:tr w14:paraId="2F1C1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4061BF34">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3</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4DBA21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高密度储氢材料及其吸/放氢过程的基础研究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669DCD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桂林电子科技大学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2AAD29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浙江大学||中南大学</w:t>
            </w:r>
          </w:p>
        </w:tc>
      </w:tr>
      <w:tr w14:paraId="792F7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68E1B023">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4</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26FA0B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等线"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适用于钙钛矿</w:t>
            </w:r>
            <w:r>
              <w:rPr>
                <w:rStyle w:val="16"/>
                <w:rFonts w:eastAsia="等线"/>
                <w:sz w:val="20"/>
                <w:szCs w:val="20"/>
                <w:lang w:val="en-US" w:eastAsia="zh-CN"/>
              </w:rPr>
              <w:t>@CIGS</w:t>
            </w:r>
            <w:r>
              <w:rPr>
                <w:rFonts w:ascii="Times New Roman" w:hAnsi="Times New Roman" w:eastAsia="仿宋_GB2312" w:cs="Times New Roman"/>
                <w:i w:val="0"/>
                <w:color w:val="000000"/>
                <w:kern w:val="0"/>
                <w:sz w:val="20"/>
                <w:szCs w:val="20"/>
                <w:u w:val="none"/>
                <w:lang w:val="en-US" w:eastAsia="zh-CN"/>
              </w:rPr>
              <w:t>叠层太阳电池的全印刷高效稳定钙钛矿电池</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4EF196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桂林理工大学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62DF54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上海交通大学||武汉理工大学</w:t>
            </w:r>
          </w:p>
        </w:tc>
      </w:tr>
      <w:tr w14:paraId="0A961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07D3B7A1">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5</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1E3DD0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复杂有色金属资源高效浮选分离界面调控机理及靶向药剂分子设计</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58FA51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52F8BE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矿冶科技集团有限公司||中南大学</w:t>
            </w:r>
          </w:p>
        </w:tc>
      </w:tr>
      <w:tr w14:paraId="5D0CA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074C5088">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6</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39AE09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广西优质杂交稻食味品质和外观品质的遗传基础解析及种质创新</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1F7C66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华中农业大学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3BAFEA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广西壮族自治区农业科学院</w:t>
            </w:r>
          </w:p>
        </w:tc>
      </w:tr>
      <w:tr w14:paraId="5A9CC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0BEAFE0C">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7</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54638E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基于甜苷V标志物的罗汉果道地性多元评价及分子机制的研究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004A0F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中国医学科学院药用植物研究所</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15B26B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广西壮族自治区中国科学院广西植物研究所||广西壮族自治区农业科学院</w:t>
            </w:r>
          </w:p>
        </w:tc>
      </w:tr>
      <w:tr w14:paraId="5E1F0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7E5C5D5A">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8</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48CBE4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水牛重要经济性状基因组学与功能基因组学研究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316A5E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290CE2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广西壮族自治区水牛研究所</w:t>
            </w:r>
          </w:p>
        </w:tc>
      </w:tr>
      <w:tr w14:paraId="1EE24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6F3ED1A3">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9</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54A088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人类扰动下喀斯特森林长时间序列动态变化及驱动机制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2707D9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中国科学院亚热带农业生态研究所</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5E616E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中国国土勘测规划院||南宁师范大学</w:t>
            </w:r>
          </w:p>
        </w:tc>
      </w:tr>
      <w:tr w14:paraId="397EC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ADA771C">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10</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05176E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喀斯特基岩化学性质影响植被演替的生物地球化学机制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11888F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中国科学院亚热带农业生态研究所</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6074A7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桂林理工大学</w:t>
            </w:r>
          </w:p>
        </w:tc>
      </w:tr>
      <w:tr w14:paraId="378FD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5F52FEA">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11</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15E9E1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家蚕优异性状遗传解析及其调控机理</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3FE427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西南大学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5CE0AA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广西壮族自治区蚕业科学研究院||重庆大学</w:t>
            </w:r>
          </w:p>
        </w:tc>
      </w:tr>
      <w:tr w14:paraId="2D837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FC61488">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12</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254E4A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卵形鲳鲹种质资源挖掘与重要经济性状分子解析</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78D0C9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中国水产科学研究院南海水产研究所</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4DEF94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广西民族大学</w:t>
            </w:r>
          </w:p>
        </w:tc>
      </w:tr>
      <w:tr w14:paraId="70D1D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626C1C84">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13</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36E67B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北部湾海水养殖鱼类弧菌病流行规律、病原诊断及致病机理研究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6AD1DA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广东海洋大学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10CAD3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北部湾大学</w:t>
            </w:r>
          </w:p>
        </w:tc>
      </w:tr>
      <w:tr w14:paraId="19B3C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1CF33227">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14</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4698FE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北部湾海区主要海水经济鱼类重要病原检测技术及致病机理研究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2040D1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华南农业大学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357A01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广西科学院</w:t>
            </w:r>
          </w:p>
        </w:tc>
      </w:tr>
      <w:tr w14:paraId="5AB66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2E66698A">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15</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3D829F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北部湾渔业资源结构与功能演变对捕捞与环境胁迫的响应机制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058A4F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中国海洋大学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3B2B4A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桂林理工大学||广东海洋大学</w:t>
            </w:r>
          </w:p>
        </w:tc>
      </w:tr>
      <w:tr w14:paraId="795CE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4C02E7FE">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16</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4CED13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广西北部湾海域牡蛎养殖对营养盐结构和浮游植物群落演替的影响</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7F6E1A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中国科学院南海海洋研究所</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41045D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自然资源部第四海洋研究所</w:t>
            </w:r>
          </w:p>
        </w:tc>
      </w:tr>
      <w:tr w14:paraId="54F11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5D344E8">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17</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154BF2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台风影响下北部湾海浪与风暴潮演变特征、预测预报及灾变关系研究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790A3A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中国科学院南海海洋研究所</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28DC05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南宁师范大学||北部湾大学</w:t>
            </w:r>
          </w:p>
        </w:tc>
      </w:tr>
      <w:tr w14:paraId="303FF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092BA2B6">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18</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643D28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北部湾灾害性台风浪及风暴潮动力过程、预警系统与长期演变预测关键技术研究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12A774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中国海洋大学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3BEB6A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广西科学院</w:t>
            </w:r>
          </w:p>
        </w:tc>
      </w:tr>
      <w:tr w14:paraId="24ED2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0B81B8AC">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19</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13BADF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近海富营养化影响下北部湾海域有害赤潮形成演变特征及防控对策研究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05D595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中国科学院海洋研究所</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0D9DB1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自然资源部第二海洋研究所||北部湾大学</w:t>
            </w:r>
          </w:p>
        </w:tc>
      </w:tr>
      <w:tr w14:paraId="75CF9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231D7FD4">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20</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3C03E3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电池托盘用高性能铝合金材料制备基础研究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7B5979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北京理工大学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385375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广西大学||广西南南铝加工有限公司</w:t>
            </w:r>
          </w:p>
        </w:tc>
      </w:tr>
      <w:tr w14:paraId="48786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0919287A">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21</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6691E8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高强高韧可焊原位纳米强化稀土铝合金新材料基础研究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76A9CC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江苏大学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501570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广西大学</w:t>
            </w:r>
          </w:p>
        </w:tc>
      </w:tr>
      <w:tr w14:paraId="2F6D4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21330B42">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22</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203C42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高功率、长寿命和高安全钠离子电池关键材料及体系的应用基础研究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37CCFF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武汉大学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050BA6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广西师范大学||广东工业大学</w:t>
            </w:r>
          </w:p>
        </w:tc>
      </w:tr>
      <w:tr w14:paraId="4742D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3D850A98">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23</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07692A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大面积印刷制备高效铅基钙钛矿太阳电池</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4494CC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江西师范大学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27B5B7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桂林理工大学</w:t>
            </w:r>
          </w:p>
        </w:tc>
      </w:tr>
      <w:tr w14:paraId="56744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20E18F01">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24</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503315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全印刷高效稳定柔性钙钛矿光电器件研究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6B4F78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中国科学院半导体研究所</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530905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广西大学</w:t>
            </w:r>
          </w:p>
        </w:tc>
      </w:tr>
      <w:tr w14:paraId="0DE52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4176D59B">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25</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0DDF11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甲壳素结构改性、高效生物催化与构效关系</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0A40D3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中国海洋大学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5AB899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广西大学||青岛大学</w:t>
            </w:r>
          </w:p>
        </w:tc>
      </w:tr>
      <w:tr w14:paraId="7D5D0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0102702">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26</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604D2B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葡萄抗热性基因挖掘及其调控机制研究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0E4017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中国科学院植物研究所</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0401CD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广西壮族自治区农业科学院</w:t>
            </w:r>
          </w:p>
        </w:tc>
      </w:tr>
      <w:tr w14:paraId="1C8F1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0B495459">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27</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6BFAD1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草酸青霉生物质降解酶生物合成的翻译和转录调控机理</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6D852D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5E0C84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上海交通大学</w:t>
            </w:r>
          </w:p>
        </w:tc>
      </w:tr>
      <w:tr w14:paraId="7CA22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10780838">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28</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70FB53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植被恢复背景下西南岩溶区土壤有机碳动态变化及其驱动机制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3BD0F8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中国科学院亚热带农业生态研究所</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1A8D1E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广西师范大学||广西壮族自治区农业科学院</w:t>
            </w:r>
          </w:p>
        </w:tc>
      </w:tr>
      <w:tr w14:paraId="7BA03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270FC113">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29</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1FD32D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抗生素废水处理过程中耐药病原菌的筛查、传播及控制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509DBA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南京理工大学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28BB39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桂林电子科技大学||生态环境部南京环境科学研究所</w:t>
            </w:r>
          </w:p>
        </w:tc>
      </w:tr>
      <w:tr w14:paraId="7DD4E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010BFE2A">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30</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0863F1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北部湾红树林湿地变化高分遥感智能提取与修复保护空间优化研究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5DED51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北京师范大学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05591E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南宁师范大学||广西红树林研究中心</w:t>
            </w:r>
          </w:p>
        </w:tc>
      </w:tr>
      <w:tr w14:paraId="38EB3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5895CC9">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31</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6C43DA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漓江流域生态安全格局演变与监测调控研究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7750D0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中国科学院生态环境研究中心</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622E31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中国地质科学院岩溶地质研究所</w:t>
            </w:r>
          </w:p>
        </w:tc>
      </w:tr>
      <w:tr w14:paraId="1983A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1C10219E">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32</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275AA8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可增强肿瘤光动力免疫治疗效果的桃胶多糖I型光敏诊疗剂</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0EEEA3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南方科技大学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02AE04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桂林理工大学||南开大学</w:t>
            </w:r>
          </w:p>
        </w:tc>
      </w:tr>
      <w:tr w14:paraId="345BD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1B7CAD51">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33</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662280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基于界面原子及电子结构调控的柔性热电薄膜与器件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1AD0BA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桂林电子科技大学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32303D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上海大学||重庆大学</w:t>
            </w:r>
          </w:p>
        </w:tc>
      </w:tr>
      <w:tr w14:paraId="203BD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71E855C6">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34</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2190D7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&gt;35%效率3结CIGS/钙钛矿叠层太阳电池的力、物、电、光协同管理机制研究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6A1D6F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武汉理工大学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49EDAF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上海交通大学||桂林理工大学</w:t>
            </w:r>
          </w:p>
        </w:tc>
      </w:tr>
      <w:tr w14:paraId="0C019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1FBFA8BF">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35</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25DB61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面向高世代的长节距、高密度ITO旋转靶材制备关键科学问题研究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607F17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桂林电子科技大学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1E0DA6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郑州大学||东北大学</w:t>
            </w:r>
          </w:p>
        </w:tc>
      </w:tr>
      <w:tr w14:paraId="5F358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2F7432DD">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36</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67B56E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多民族跨领域多样性数据聚合的精准安全计算技术</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1C4085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广西师范大学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244F05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 xml:space="preserve"> </w:t>
            </w:r>
          </w:p>
        </w:tc>
      </w:tr>
      <w:tr w14:paraId="1BF68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3D94D45">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37</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4F7616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面向广西乡村振兴的多民族行业领域数据安全融合与智能计算安全研究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5E1209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西安电子科技大学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080242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浙江大学||广西民族大学</w:t>
            </w:r>
          </w:p>
        </w:tc>
      </w:tr>
      <w:tr w14:paraId="261DB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2746F1E7">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38</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0FA9B3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基于光栅干涉仪的大行程多维测量与校准方法理论研究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744898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中国科学院长春光学精密机械与物理研究所</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432016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暨南大学</w:t>
            </w:r>
          </w:p>
        </w:tc>
      </w:tr>
      <w:tr w14:paraId="213C0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0B8A4F6">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39</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1623C4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遗传变异与金属暴露对广西地区冠心病发病的危害效应及风险预测</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7514C6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南京医科大学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40F101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广西医科大学||广西科技大学</w:t>
            </w:r>
          </w:p>
        </w:tc>
      </w:tr>
      <w:tr w14:paraId="3CB03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3411EC4C">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40</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3637D4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循环肿瘤细胞的类器官培养实现常见实体肿瘤化疗药物个体化的研究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00E735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中山大学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136DE2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广西医科大学</w:t>
            </w:r>
          </w:p>
        </w:tc>
      </w:tr>
      <w:tr w14:paraId="453F8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2181AA9D">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41</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09029C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鼻咽癌树鼩模型的创建及发病机理的研究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585021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广西医科大学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4B6D9C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 xml:space="preserve"> </w:t>
            </w:r>
          </w:p>
        </w:tc>
      </w:tr>
      <w:tr w14:paraId="65FBE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12379A60">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42</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3D111E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EB病毒编码的环状RNA在鼻咽癌放疗抵抗中的作用及机制研究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00EA98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中南大学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06A7D7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广西壮族自治区人民医院||桂林医学院</w:t>
            </w:r>
          </w:p>
        </w:tc>
      </w:tr>
      <w:tr w14:paraId="1F57D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704E475">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43</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2EB843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快速高灵敏新冠病毒检测光电传感器关键科学问题研究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503751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桂林电子科技大学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386E0A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西安交通大学||广西壮族自治区人民医院</w:t>
            </w:r>
          </w:p>
        </w:tc>
      </w:tr>
      <w:tr w14:paraId="112B7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34AEBDD6">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44</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17F4E5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城市轨道交通列车关键部件智能运维基础理论与关键技术研究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19F899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74102B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中车株洲电力机车研究所有限公司||北京交通大学</w:t>
            </w:r>
          </w:p>
        </w:tc>
      </w:tr>
      <w:tr w14:paraId="46FD1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AE7CB11">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45</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318D5C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固定化功能菌群修复岩溶区塑化剂和重金属污染农田土壤的协同效应及机制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644C5B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南京农业大学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772666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广西大学</w:t>
            </w:r>
          </w:p>
        </w:tc>
      </w:tr>
      <w:tr w14:paraId="74924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607C6301">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46</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67FC68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西南喀斯特关键带土壤有机碳形成与稳定性对水热变化的响应机制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1DDBC3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中国科学院亚热带农业生态研究所</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0C70543C">
            <w:pPr>
              <w:keepNext w:val="0"/>
              <w:keepLines w:val="0"/>
              <w:pageBreakBefore w:val="0"/>
              <w:widowControl/>
              <w:kinsoku/>
              <w:wordWrap/>
              <w:overflowPunct/>
              <w:topLinePunct w:val="0"/>
              <w:autoSpaceDE/>
              <w:autoSpaceDN/>
              <w:bidi w:val="0"/>
              <w:adjustRightInd/>
              <w:snapToGrid/>
              <w:spacing w:line="240" w:lineRule="exact"/>
              <w:jc w:val="left"/>
              <w:rPr>
                <w:rFonts w:ascii="Times New Roman" w:hAnsi="Times New Roman" w:eastAsia="仿宋_GB2312" w:cs="Times New Roman"/>
                <w:i w:val="0"/>
                <w:color w:val="000000"/>
                <w:sz w:val="20"/>
                <w:szCs w:val="20"/>
                <w:u w:val="none"/>
              </w:rPr>
            </w:pPr>
          </w:p>
        </w:tc>
      </w:tr>
      <w:tr w14:paraId="1FA20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040BA546">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47</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241810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大规格大厚度6061铝合金超声辅助与活性粉末诱导低温扩散焊接机制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0C48FB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郑州机械研究所有限公司</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64D2B8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合肥工业大学</w:t>
            </w:r>
          </w:p>
        </w:tc>
      </w:tr>
      <w:tr w14:paraId="449AF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3594BF34">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48</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5C1C12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单细胞分辨率多组学分析膀胱癌化疗耐受机制的研究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72E6BE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安徽医科大学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1B8AE523">
            <w:pPr>
              <w:keepNext w:val="0"/>
              <w:keepLines w:val="0"/>
              <w:pageBreakBefore w:val="0"/>
              <w:widowControl/>
              <w:kinsoku/>
              <w:wordWrap/>
              <w:overflowPunct/>
              <w:topLinePunct w:val="0"/>
              <w:autoSpaceDE/>
              <w:autoSpaceDN/>
              <w:bidi w:val="0"/>
              <w:adjustRightInd/>
              <w:snapToGrid/>
              <w:spacing w:line="240" w:lineRule="exact"/>
              <w:jc w:val="left"/>
              <w:rPr>
                <w:rFonts w:ascii="Times New Roman" w:hAnsi="Times New Roman" w:eastAsia="仿宋_GB2312" w:cs="Times New Roman"/>
                <w:i w:val="0"/>
                <w:color w:val="000000"/>
                <w:sz w:val="20"/>
                <w:szCs w:val="20"/>
                <w:u w:val="none"/>
              </w:rPr>
            </w:pPr>
          </w:p>
        </w:tc>
      </w:tr>
      <w:tr w14:paraId="0A0E1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1EAD9B7B">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49</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2A2D3A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肿瘤细胞和免疫微环境的脂肪代谢重塑对鼻咽癌发生发展的作用及机制研究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4F7A02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广西医科大学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7CE1B4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中山大学</w:t>
            </w:r>
          </w:p>
        </w:tc>
      </w:tr>
      <w:tr w14:paraId="7B8C5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3CD62AA9">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50</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0B5C4F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广西毛葡萄单宁积累关键调控基因挖掘及种质创新</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3B683C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西北农林科技大学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3A67EC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广西壮族自治区农业科学院</w:t>
            </w:r>
          </w:p>
        </w:tc>
      </w:tr>
      <w:tr w14:paraId="26D23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1963A794">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51</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3EA4B8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重要壮药及主要成分抗细菌感染的作用机制及潜在靶标研究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73D1BD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6380B7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吉林大学</w:t>
            </w:r>
          </w:p>
        </w:tc>
      </w:tr>
      <w:tr w14:paraId="6FD08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48831722">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52</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422064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对虾血蓝蛋白调控肝胰腺菌群稳态的分子机制及其在防控AHPND中的应用</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6CDA38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汕头大学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575BD6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广西壮族自治区水产科学研究院</w:t>
            </w:r>
          </w:p>
        </w:tc>
      </w:tr>
      <w:tr w14:paraId="03B02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7C2BA2EE">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53</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7F41EA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基于免疫微环境图谱探讨鸡血藤-雷公藤协同治疗类风湿关节炎/肝癌异病同治物质基础及作用机制研究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731039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中日友好医院</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58043E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广西医科大学</w:t>
            </w:r>
          </w:p>
        </w:tc>
      </w:tr>
      <w:tr w14:paraId="0F719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7411DD12">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54</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502221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广西亚热带典型岩溶碳汇过程及调控机制研究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561F2C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中国科学院地球化学研究所</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5AB813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南宁师范大学||中国地质科学院岩溶地质研究所</w:t>
            </w:r>
          </w:p>
        </w:tc>
      </w:tr>
      <w:tr w14:paraId="06411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7B07B49A">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55</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1EC9AD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海洋环境温盐深磁一体化传感方法及监测网络关键科学问题研究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659CAF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东北大学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085D8B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广西大学</w:t>
            </w:r>
          </w:p>
        </w:tc>
      </w:tr>
      <w:tr w14:paraId="1D93E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D166B6B">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56</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7A239C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面向岛礁建设的超高性能海水海砂混凝土及新型结构体系研发</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521A46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桂林理工大学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259272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青岛理工大学||中国矿业大学</w:t>
            </w:r>
            <w:r>
              <w:rPr>
                <w:rFonts w:hint="eastAsia" w:ascii="Times New Roman" w:hAnsi="Times New Roman" w:eastAsia="仿宋_GB2312" w:cs="Times New Roman"/>
                <w:i w:val="0"/>
                <w:color w:val="000000"/>
                <w:kern w:val="0"/>
                <w:sz w:val="20"/>
                <w:szCs w:val="20"/>
                <w:u w:val="none"/>
                <w:lang w:val="en-US" w:eastAsia="zh-CN"/>
              </w:rPr>
              <w:t>（</w:t>
            </w:r>
            <w:r>
              <w:rPr>
                <w:rFonts w:ascii="Times New Roman" w:hAnsi="Times New Roman" w:eastAsia="仿宋_GB2312" w:cs="Times New Roman"/>
                <w:i w:val="0"/>
                <w:color w:val="000000"/>
                <w:kern w:val="0"/>
                <w:sz w:val="20"/>
                <w:szCs w:val="20"/>
                <w:u w:val="none"/>
                <w:lang w:val="en-US" w:eastAsia="zh-CN"/>
              </w:rPr>
              <w:t>北京</w:t>
            </w:r>
            <w:r>
              <w:rPr>
                <w:rFonts w:hint="eastAsia" w:ascii="Times New Roman" w:hAnsi="Times New Roman" w:eastAsia="仿宋_GB2312" w:cs="Times New Roman"/>
                <w:i w:val="0"/>
                <w:color w:val="000000"/>
                <w:kern w:val="0"/>
                <w:sz w:val="20"/>
                <w:szCs w:val="20"/>
                <w:u w:val="none"/>
                <w:lang w:val="en-US" w:eastAsia="zh-CN"/>
              </w:rPr>
              <w:t>）</w:t>
            </w:r>
          </w:p>
        </w:tc>
      </w:tr>
      <w:tr w14:paraId="56914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1484A87A">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57</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1CE217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滑坡地质灾害光纤光栅传感测量理论方法研究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0CD50B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深圳大学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5D4415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中国有色桂林矿产地质研究院有限公司</w:t>
            </w:r>
          </w:p>
        </w:tc>
      </w:tr>
      <w:tr w14:paraId="30E1B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7527A7B3">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58</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6A875B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基于多模态多组学数据分析的鼻咽癌早期精准诊断方法研究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2A32BE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东北大学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4ECD04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广西医科大学||北京科技大学</w:t>
            </w:r>
          </w:p>
        </w:tc>
      </w:tr>
      <w:tr w14:paraId="27E8E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43C4F9F8">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59</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58E130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基于生物医疗大数据整合分析和轻量级模型部署的鼻咽癌早期诊断与预防关键技术研究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0B90CF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深圳大学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39A5C3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广西壮族自治区人民医院</w:t>
            </w:r>
          </w:p>
        </w:tc>
      </w:tr>
      <w:tr w14:paraId="3667B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3A48A136">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60</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0E7944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喀斯特矿区土壤/地下水污染物迁移转化及协同修复机制研究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3F9951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中山大学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18EE52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中国地质科学院岩溶地质研究所||中南大学</w:t>
            </w:r>
          </w:p>
        </w:tc>
      </w:tr>
      <w:tr w14:paraId="59662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6F9540A6">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61</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2AC99D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汽车复杂制造环境的端边云资源协同理论与智能计算研究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61E74D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桂林电子科技大学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3084B2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广东工业大学||机械工业第六设计研究院有限公司</w:t>
            </w:r>
          </w:p>
        </w:tc>
      </w:tr>
      <w:tr w14:paraId="5B194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1C106ABC">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62</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690A2A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自然社会安全行为理解与智能预警关键技术研究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66DF6B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西安电子科技大学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075C03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武汉大学||广西产研院人工智能与大数据应用研究所有限公司</w:t>
            </w:r>
          </w:p>
        </w:tc>
      </w:tr>
      <w:tr w14:paraId="41AFB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39E238D1">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63</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1AB477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新概念高熵固溶体电催化硝酸根制氨材料的设计构建及多主元协同机制研究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1DDEEB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河南师范大学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0E33DD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广西大学</w:t>
            </w:r>
          </w:p>
        </w:tc>
      </w:tr>
      <w:tr w14:paraId="772B8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7AEBB025">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64</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1B7532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重金属混合暴露对孕妇甲状腺功能和子代神经发育影响的效应及机制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4AC7C6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广西医科大学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062EF2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中国疾病预防控制中心环境与健康相关产品安全所</w:t>
            </w:r>
          </w:p>
        </w:tc>
      </w:tr>
      <w:tr w14:paraId="13C50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A058EAC">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65</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3E7E07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重金属特征谱系暴露在妊娠期内分泌代谢性疾病中的作用机制及防控策略</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5E3ADB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南京医科大学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50C695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广西医科大学</w:t>
            </w:r>
          </w:p>
        </w:tc>
      </w:tr>
      <w:tr w14:paraId="72355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4598402F">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66</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2A492A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广西辣椒资源挖掘和风味品质性状遗传调控网络解析</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05209E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中国农业科学院蔬菜花卉研究所</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3B105D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广西壮族自治区农业科学院</w:t>
            </w:r>
          </w:p>
        </w:tc>
      </w:tr>
      <w:tr w14:paraId="58768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6D6E6838">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67</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2A3D0A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番茄青枯病抗性关键基因克隆和机制解析</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1B5E27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浙江农林大学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198E92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广西壮族自治区农业科学院</w:t>
            </w:r>
          </w:p>
        </w:tc>
      </w:tr>
      <w:tr w14:paraId="33333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7968FA80">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68</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4A91D8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名优茶全天候采摘机器人的眼脑手自主协调方法研究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16CC57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浙江理工大学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07D451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广西大学||北京市农林科学院</w:t>
            </w:r>
          </w:p>
        </w:tc>
      </w:tr>
      <w:tr w14:paraId="02698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CBCEB65">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69</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15858F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广西喀斯特地区微生物次级代谢产物发掘与生物活性研究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1DB57D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上海交通大学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6961AC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广西科学院</w:t>
            </w:r>
          </w:p>
        </w:tc>
      </w:tr>
      <w:tr w14:paraId="13FDD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7721EB0">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70</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3D849F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广西喀斯特区域大型木生真菌资源开发利用研究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4F922C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北京林业大学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7A1777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广西壮族自治区林业科学研究院</w:t>
            </w:r>
          </w:p>
        </w:tc>
      </w:tr>
      <w:tr w14:paraId="16881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13720428">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71</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7AC135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耐黄龙病柑橘资源发掘与耐病性机制解析</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589B04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华中农业大学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32FBF7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广西特色作物研究院</w:t>
            </w:r>
          </w:p>
        </w:tc>
      </w:tr>
      <w:tr w14:paraId="78F31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21E0D248">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72</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38AA2D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高湿下多组分油气VOCs时空协同吸附机制及体系构筑研究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48E27B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2BCED6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北京工业大学||浙江大学</w:t>
            </w:r>
          </w:p>
        </w:tc>
      </w:tr>
      <w:tr w14:paraId="5B5CD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6B11E9E6">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73</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0FC77E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广西北部湾赤泥</w:t>
            </w:r>
            <w:r>
              <w:rPr>
                <w:rFonts w:hint="eastAsia" w:ascii="Times New Roman" w:hAnsi="Times New Roman" w:eastAsia="仿宋_GB2312" w:cs="Times New Roman"/>
                <w:i w:val="0"/>
                <w:color w:val="000000"/>
                <w:kern w:val="0"/>
                <w:sz w:val="20"/>
                <w:szCs w:val="20"/>
                <w:u w:val="none"/>
                <w:lang w:val="en-US" w:eastAsia="zh-CN"/>
              </w:rPr>
              <w:t>-</w:t>
            </w:r>
            <w:r>
              <w:rPr>
                <w:rFonts w:ascii="Times New Roman" w:hAnsi="Times New Roman" w:eastAsia="仿宋_GB2312" w:cs="Times New Roman"/>
                <w:i w:val="0"/>
                <w:color w:val="000000"/>
                <w:kern w:val="0"/>
                <w:sz w:val="20"/>
                <w:szCs w:val="20"/>
                <w:u w:val="none"/>
                <w:lang w:val="en-US" w:eastAsia="zh-CN"/>
              </w:rPr>
              <w:t>电解锰渣-钢渣多元固废协同梯级全组分利用基础研究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7E0ED5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北京科技大学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051273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桂林理工大学</w:t>
            </w:r>
          </w:p>
        </w:tc>
      </w:tr>
      <w:tr w14:paraId="1A616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14DAC878">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74</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239F0C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广西典型富硒高镉土壤-水稻系统中硒镉交互作用及其调控机制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7F1587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中山大学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5237A8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Style w:val="17"/>
                <w:rFonts w:ascii="Times New Roman" w:hAnsi="Times New Roman" w:cs="Times New Roman"/>
                <w:sz w:val="20"/>
                <w:szCs w:val="20"/>
                <w:lang w:val="en-US" w:eastAsia="zh-CN"/>
              </w:rPr>
              <w:t>广西大学</w:t>
            </w:r>
            <w:r>
              <w:rPr>
                <w:rFonts w:ascii="Times New Roman" w:hAnsi="Times New Roman" w:eastAsia="仿宋_GB2312" w:cs="Times New Roman"/>
                <w:i w:val="0"/>
                <w:color w:val="000000"/>
                <w:kern w:val="0"/>
                <w:sz w:val="20"/>
                <w:szCs w:val="20"/>
                <w:u w:val="none"/>
                <w:lang w:val="en-US" w:eastAsia="zh-CN"/>
              </w:rPr>
              <w:t>||南京农业大学</w:t>
            </w:r>
          </w:p>
        </w:tc>
      </w:tr>
      <w:tr w14:paraId="70179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7A6CE698">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75</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333A6E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广西典型富硒高镉土壤中硒镉的交互作用过程及作物富硒降镉的调控机制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3F9E61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中国科学院南京土壤研究所</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5A0D7F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广西壮族自治区农业科学院||广西师范大学</w:t>
            </w:r>
          </w:p>
        </w:tc>
      </w:tr>
      <w:tr w14:paraId="15DDC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2B4CFA6C">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76</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507C5D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北部湾陆海系统氮磷循环及其生态环境效应</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5F36C5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深圳大学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2CA3CB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广西壮族自治区海洋环境监测中心站||中国科学院武汉植物园</w:t>
            </w:r>
          </w:p>
        </w:tc>
      </w:tr>
      <w:tr w14:paraId="5EAE9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06CE0A31">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77</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70BBC8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北部湾球形棕囊藻有性生活史与赤潮发生的耦合机制：假说和验证</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756E20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中国科学院海洋研究所</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0E7B7D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广西科学院</w:t>
            </w:r>
          </w:p>
        </w:tc>
      </w:tr>
      <w:tr w14:paraId="0EB03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30E7BAB4">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78</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7E839D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高选择性长链α-烯烃氢甲酰化Rh基原子级分散催化剂及多相催化反应工艺的基础研究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5F61DE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北京化工大学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129B8C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中国科学院大连化学物理研究所</w:t>
            </w:r>
          </w:p>
        </w:tc>
      </w:tr>
      <w:tr w14:paraId="3800F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3B4293B7">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79</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768BFE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玻璃态金属有机框架的双向扰动制备、相态演变过程及其固态电解质应用研究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7A200F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广西师范大学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28729E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陕西科技大学||上海科技大学</w:t>
            </w:r>
          </w:p>
        </w:tc>
      </w:tr>
      <w:tr w14:paraId="0F8DA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385A460F">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80</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4624CE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高矫顽力、高磁能积稀土永磁合金微观组织调控与性能研究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04AA15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上海大学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44AD05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广西大学||杭州电子科技大学</w:t>
            </w:r>
          </w:p>
        </w:tc>
      </w:tr>
      <w:tr w14:paraId="09EB2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308F94DF">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81</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51CCC0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高比能富锂锰基正极材料及电池体系的应用基础研究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3C3916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中国科学院物理研究所</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0656AA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广西师范大学||北京工业大学</w:t>
            </w:r>
          </w:p>
        </w:tc>
      </w:tr>
      <w:tr w14:paraId="460D8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CAE7765">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82</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0E5142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低能耗相分离吸收剂体系的构建及其捕集CO2基础研究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023DD0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湖南大学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5CB6C5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北部湾大学</w:t>
            </w:r>
          </w:p>
        </w:tc>
      </w:tr>
      <w:tr w14:paraId="4B9C7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3E9A8537">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83</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0300E9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喀斯特地区大跨钢管混凝土拱桥智慧运维理论与方法</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3F53C6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242F7B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浙江大学||广西北部湾投资集团有限公司</w:t>
            </w:r>
          </w:p>
        </w:tc>
      </w:tr>
      <w:tr w14:paraId="43C7B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628D0D1E">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84</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7E2B63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面向八桂壮乡全天候复杂环境智能视觉感知的新型神经网络关键技术研究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5A6B10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广西师范大学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541744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厦门大学</w:t>
            </w:r>
          </w:p>
        </w:tc>
      </w:tr>
      <w:tr w14:paraId="470C1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417A3BD">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85</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2F7E14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面向全天候复杂环境感知及认知的新型神经网络关键技术研究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550A6E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湖南大学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134CCB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湖南工业大学</w:t>
            </w:r>
          </w:p>
        </w:tc>
      </w:tr>
      <w:tr w14:paraId="23AAC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7D446F7C">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86</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1E8C79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面向建筑艺术文化创新的民族建筑景观图像可信智能融合关键技术</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32880B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中南大学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7E7034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广西大学||广西城乡规划设计院</w:t>
            </w:r>
          </w:p>
        </w:tc>
      </w:tr>
      <w:tr w14:paraId="4B5BE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3D9FF08C">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87</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0F7EE5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非侵入式光纤脑机接口机理及关键技术研究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4F14B0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桂林电子科技大学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417202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深圳技术大学</w:t>
            </w:r>
          </w:p>
        </w:tc>
      </w:tr>
      <w:tr w14:paraId="549B6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719563C4">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88</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478708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基于硅光电倍增管探测阵列的可见光通信系统关键技术研究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039B9B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华南理工大学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61DDC5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桂林电子科技大学||清华大学深圳国际研究生院</w:t>
            </w:r>
          </w:p>
        </w:tc>
      </w:tr>
      <w:tr w14:paraId="51ED2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518C99D">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89</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5EC868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面向复杂丘陵地貌的小型化甘蔗收获机自主作业与协同优化控制研究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6E9F0C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0A3DAF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中国科学院沈阳自动化研究所||广西柳工农业机械股份有限公司</w:t>
            </w:r>
          </w:p>
        </w:tc>
      </w:tr>
      <w:tr w14:paraId="65A44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3FCF6555">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90</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7635AD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北斗与低轨卫星组合高精度快速定位技术</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53D823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桂林电子科技大学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46D552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武汉大学||北京跟踪与通信技术研究所</w:t>
            </w:r>
          </w:p>
        </w:tc>
      </w:tr>
      <w:tr w14:paraId="022AA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745FB815">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91</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4105BE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基于“体内代谢-质谱成像-分子探针”策略的鸡骨草靶向肝脏药效物质基础及抗肝癌先导分子研究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1C0168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广西中医药大学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069CEC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黑龙江中医药大学||中国科学院上海药物研究所</w:t>
            </w:r>
          </w:p>
        </w:tc>
      </w:tr>
      <w:tr w14:paraId="32671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162AE804">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92</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114E07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靶向肝脏免疫微环境的山豆根毒效转化机制及安全精准用药研究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59FE97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中国人民解放军总医院</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243F49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广西壮族自治区中国科学院广西植物研究所</w:t>
            </w:r>
          </w:p>
        </w:tc>
      </w:tr>
      <w:tr w14:paraId="7D3F9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33F9735D">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93</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40873D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广西长寿群体“肠脑轴”平衡改善认知衰老的分子遗传学研究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0DBE2D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北京医院</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530483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广西壮族自治区江滨医院||南通大学</w:t>
            </w:r>
          </w:p>
        </w:tc>
      </w:tr>
      <w:tr w14:paraId="011F2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0E523783">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94</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79B45B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纳米酶杂化医用敷料的构筑及应用研究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5833F6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中国科学院生物物理研究所</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3A046F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广西师范大学||国家纳米科学中心</w:t>
            </w:r>
          </w:p>
        </w:tc>
      </w:tr>
      <w:tr w14:paraId="31A80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0FEFCE65">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95</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4B933E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复合响应型微纳米生物活性玻璃用于"抗骨肿瘤-促成骨"协同治疗的研究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46122E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上海交通大学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580ACB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华南理工大学||广西大学</w:t>
            </w:r>
          </w:p>
        </w:tc>
      </w:tr>
      <w:tr w14:paraId="5D48E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6A6CA004">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96</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126E00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孕期新污染物混合暴露致儿童神经发育障碍的机制与风险研究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0A7A94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华中科技大学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2CB703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广西医科大学||广西壮族自治区妇幼保健院</w:t>
            </w:r>
          </w:p>
        </w:tc>
      </w:tr>
      <w:tr w14:paraId="4F221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16625AD">
            <w:pPr>
              <w:keepNext w:val="0"/>
              <w:keepLines w:val="0"/>
              <w:widowControl/>
              <w:suppressLineNumbers w:val="0"/>
              <w:jc w:val="center"/>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97</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5FEF80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kern w:val="0"/>
                <w:sz w:val="20"/>
                <w:szCs w:val="20"/>
                <w:u w:val="none"/>
              </w:rPr>
            </w:pPr>
            <w:r>
              <w:rPr>
                <w:rFonts w:ascii="Times New Roman" w:hAnsi="Times New Roman" w:eastAsia="仿宋_GB2312" w:cs="Times New Roman"/>
                <w:i w:val="0"/>
                <w:color w:val="000000"/>
                <w:kern w:val="0"/>
                <w:sz w:val="20"/>
                <w:szCs w:val="20"/>
                <w:u w:val="none"/>
                <w:lang w:val="en-US" w:eastAsia="zh-CN"/>
              </w:rPr>
              <w:t>近红外量子点高效构筑及其对肿瘤微环境调控和肿瘤诊疗机制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189F12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天津工业大学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16D072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Times New Roman" w:hAnsi="Times New Roman" w:eastAsia="仿宋_GB2312" w:cs="Times New Roman"/>
                <w:i w:val="0"/>
                <w:color w:val="000000"/>
                <w:sz w:val="20"/>
                <w:szCs w:val="20"/>
                <w:u w:val="none"/>
              </w:rPr>
            </w:pPr>
            <w:r>
              <w:rPr>
                <w:rFonts w:ascii="Times New Roman" w:hAnsi="Times New Roman" w:eastAsia="仿宋_GB2312" w:cs="Times New Roman"/>
                <w:i w:val="0"/>
                <w:color w:val="000000"/>
                <w:kern w:val="0"/>
                <w:sz w:val="20"/>
                <w:szCs w:val="20"/>
                <w:u w:val="none"/>
                <w:lang w:val="en-US" w:eastAsia="zh-CN"/>
              </w:rPr>
              <w:t>南宁师范大学</w:t>
            </w:r>
          </w:p>
        </w:tc>
      </w:tr>
      <w:tr w14:paraId="5ACD6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6D615E23">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98</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2090E0F0">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color w:val="000000"/>
                <w:kern w:val="0"/>
                <w:lang w:val="en-US" w:eastAsia="zh-CN"/>
              </w:rPr>
              <w:t>广西普通野生稻</w:t>
            </w:r>
            <w:r>
              <w:rPr>
                <w:rFonts w:ascii="Times New Roman" w:hAnsi="Times New Roman" w:eastAsia="仿宋_GB2312"/>
                <w:color w:val="000000"/>
                <w:kern w:val="0"/>
                <w:lang w:val="en-US" w:eastAsia="zh-CN"/>
              </w:rPr>
              <w:t>M</w:t>
            </w:r>
            <w:r>
              <w:rPr>
                <w:rFonts w:ascii="Times New Roman" w:hAnsi="Times New Roman" w:eastAsia="仿宋_GB2312" w:cs="Times New Roman"/>
                <w:color w:val="000000"/>
                <w:kern w:val="0"/>
                <w:lang w:val="en-US" w:eastAsia="zh-CN"/>
              </w:rPr>
              <w:t>基因挖掘及</w:t>
            </w:r>
            <w:r>
              <w:rPr>
                <w:rFonts w:ascii="Times New Roman" w:hAnsi="Times New Roman" w:eastAsia="仿宋_GB2312"/>
                <w:color w:val="000000"/>
                <w:kern w:val="0"/>
                <w:lang w:val="en-US" w:eastAsia="zh-CN"/>
              </w:rPr>
              <w:t>M</w:t>
            </w:r>
            <w:r>
              <w:rPr>
                <w:rFonts w:ascii="Times New Roman" w:hAnsi="Times New Roman" w:eastAsia="仿宋_GB2312" w:cs="Times New Roman"/>
                <w:color w:val="000000"/>
                <w:kern w:val="0"/>
                <w:lang w:val="en-US" w:eastAsia="zh-CN"/>
              </w:rPr>
              <w:t>基因兼抗多种水稻病害的机制研究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765E1F46">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中国农业科学院植物保护研究所</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6B2C2CAE">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广西壮族自治区农业科学院</w:t>
            </w:r>
          </w:p>
        </w:tc>
      </w:tr>
      <w:tr w14:paraId="2CC86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0B42E500">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99</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6C9229FF">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蔗渣（叶）酶法拆解与转化利用耦合调控机制研究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05CC8519">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郑州大学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71560A82">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广西壮族自治区中国科学院广西植物研究所||广西科技大学</w:t>
            </w:r>
          </w:p>
        </w:tc>
      </w:tr>
      <w:tr w14:paraId="72972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6473E137">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100</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49E97432">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大口黑鲈弹状病毒入侵分子机制解析及药物创新研究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2EB1F9B7">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西北农林科技大学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6C94D23C">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广西科学院</w:t>
            </w:r>
          </w:p>
        </w:tc>
      </w:tr>
      <w:tr w14:paraId="7A4A8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6DE3503C">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101</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55C6D5C4">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基于甘蔗割手密种群体演化解析现代栽培种的抗旱性遗传学基础</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1CC75612">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广西大学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69C77139">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云南省农业科学院甘蔗研究所</w:t>
            </w:r>
          </w:p>
        </w:tc>
      </w:tr>
      <w:tr w14:paraId="46774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8590B7D">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102</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730AD42C">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color w:val="000000"/>
                <w:kern w:val="0"/>
                <w:lang w:val="en-US" w:eastAsia="zh-CN"/>
              </w:rPr>
              <w:t>基于野生稻</w:t>
            </w:r>
            <w:r>
              <w:rPr>
                <w:rFonts w:ascii="Times New Roman" w:hAnsi="Times New Roman" w:eastAsia="仿宋_GB2312"/>
                <w:color w:val="000000"/>
                <w:kern w:val="0"/>
                <w:lang w:val="en-US" w:eastAsia="zh-CN"/>
              </w:rPr>
              <w:t>/</w:t>
            </w:r>
            <w:r>
              <w:rPr>
                <w:rFonts w:ascii="Times New Roman" w:hAnsi="Times New Roman" w:eastAsia="仿宋_GB2312" w:cs="Times New Roman"/>
                <w:color w:val="000000"/>
                <w:kern w:val="0"/>
                <w:lang w:val="en-US" w:eastAsia="zh-CN"/>
              </w:rPr>
              <w:t>栽培稻超级图形泛基因组挖掘广西野生稻中抗性基因及功能验证</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2F9A8101">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广西大学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560B4C93">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武汉大学||广西壮族自治区农业科学院</w:t>
            </w:r>
          </w:p>
        </w:tc>
      </w:tr>
      <w:tr w14:paraId="1517E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0A9367B7">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103</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7BB70671">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基于病原与宿主双靶向的广西天然药物抗奶水牛乳房炎机理研究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43EE7C94">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广西大学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0DA5AD2A">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中国农业大学||吉林大学</w:t>
            </w:r>
          </w:p>
        </w:tc>
      </w:tr>
      <w:tr w14:paraId="1EBD7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2A595F14">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104</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1E5CAD75">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马尾松混交林生产力及生态效应的形成与维持机制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49D4EC1E">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广西大学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5406942D">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中国林业科学研究院热带林业实验中心</w:t>
            </w:r>
          </w:p>
        </w:tc>
      </w:tr>
      <w:tr w14:paraId="6AD24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05062067">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105</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1E78B76F">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北部湾典型红树林底栖贝类群落演变过程、驱动机制及其生态效应</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6A21F6FF">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中国海洋大学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74479E4A">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广西海洋科学院</w:t>
            </w:r>
          </w:p>
        </w:tc>
      </w:tr>
      <w:tr w14:paraId="229F4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6C7FC1F5">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106</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19CD5EBC">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马尾松林土壤有机碳库及其稳定性对树种混交策略的响应机制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56DF040A">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中国科学院亚热带农业生态研究所</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1EE42F8D">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广西壮族自治区林业科学研究院</w:t>
            </w:r>
          </w:p>
        </w:tc>
      </w:tr>
      <w:tr w14:paraId="75883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9BD4C5F">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107</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7E683B02">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漓江流域喀斯特地区地下水流动机理与高效开发利用模式</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0BD17EFC">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中国地质大学（武汉）</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722B85E0">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中国地质科学院岩溶地质研究所||长江大学</w:t>
            </w:r>
          </w:p>
        </w:tc>
      </w:tr>
      <w:tr w14:paraId="63638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6205621A">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108</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5E462374">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喀斯特关键带浅层地下水循环及其生态调蓄与开发利用研究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73A7E7AE">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中国科学院亚热带农业生态研究所</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222FFD88">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重庆大学||南宁师范大学</w:t>
            </w:r>
          </w:p>
        </w:tc>
      </w:tr>
      <w:tr w14:paraId="15DDA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28116CC0">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109</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41C368EE">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桂中坳陷上古生界页岩储层孔缝系统及页岩气成藏富集机制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46146235">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中国石油大学（北京）</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6332DB16">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广西能源集团有限公司||南宁师范大学</w:t>
            </w:r>
          </w:p>
        </w:tc>
      </w:tr>
      <w:tr w14:paraId="39846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15CF7AE4">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110</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5A8A2766">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漓江流域典型新污染物的高通量定量筛查及生态风险预测</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6C2857AB">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浙江工商大学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2A96B756">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广西师范大学</w:t>
            </w:r>
          </w:p>
        </w:tc>
      </w:tr>
      <w:tr w14:paraId="213E6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39D95A99">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111</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121622FA">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基于高通量定量筛查技术的漓江流域新污染物环境归趋、来源解析与风险诊断研究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514BB6F9">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南京大学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4D801A7C">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广西壮族自治区生态环境监测中心||广西大学</w:t>
            </w:r>
          </w:p>
        </w:tc>
      </w:tr>
      <w:tr w14:paraId="08892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ADC53C1">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112</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77499F6C">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基于生物质剑麻余料的新型柑橘黄龙病抑菌纳米材料的研究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40BAEF41">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西南大学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13439839">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桂林理工大学||北京化工大学</w:t>
            </w:r>
          </w:p>
        </w:tc>
      </w:tr>
      <w:tr w14:paraId="32A96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7E1E5682">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113</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3A2287A1">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color w:val="000000"/>
                <w:kern w:val="0"/>
                <w:lang w:val="en-US" w:eastAsia="zh-CN"/>
              </w:rPr>
              <w:t>喀斯特地区超大跨钢</w:t>
            </w:r>
            <w:r>
              <w:rPr>
                <w:rFonts w:ascii="Times New Roman" w:hAnsi="Times New Roman" w:eastAsia="仿宋_GB2312"/>
                <w:color w:val="000000"/>
                <w:kern w:val="0"/>
                <w:lang w:val="en-US" w:eastAsia="zh-CN"/>
              </w:rPr>
              <w:t>-UHPC</w:t>
            </w:r>
            <w:r>
              <w:rPr>
                <w:rFonts w:ascii="Times New Roman" w:hAnsi="Times New Roman" w:eastAsia="仿宋_GB2312" w:cs="Times New Roman"/>
                <w:color w:val="000000"/>
                <w:kern w:val="0"/>
                <w:lang w:val="en-US" w:eastAsia="zh-CN"/>
              </w:rPr>
              <w:t>组合拱桥长寿命设计及建造理论研究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3BA6FC50">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重庆交通大学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6B4DC215">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广西路桥工程集团有限公司</w:t>
            </w:r>
          </w:p>
        </w:tc>
      </w:tr>
      <w:tr w14:paraId="15ACB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6C25BAF9">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114</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368D1BA4">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高效锰、锑金属卤化物手性发光材料与器件的开发</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268DD9AB">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南方科技大学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4BF421E9">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桂林理工大学</w:t>
            </w:r>
          </w:p>
        </w:tc>
      </w:tr>
      <w:tr w14:paraId="03130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02A05DAB">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115</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5D9D1627">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olor w:val="000000"/>
                <w:kern w:val="0"/>
                <w:lang w:val="en-US" w:eastAsia="zh-CN"/>
              </w:rPr>
              <w:t>SiC</w:t>
            </w:r>
            <w:r>
              <w:rPr>
                <w:rFonts w:ascii="Times New Roman" w:hAnsi="Times New Roman" w:eastAsia="仿宋_GB2312" w:cs="Times New Roman"/>
                <w:color w:val="000000"/>
                <w:kern w:val="0"/>
                <w:lang w:val="en-US" w:eastAsia="zh-CN"/>
              </w:rPr>
              <w:t>功率芯片三维集成封装关键技术与可靠性预测研究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54E19995">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杭州电子科技大学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03EA55D1">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合肥工业大学||广西师范大学</w:t>
            </w:r>
          </w:p>
        </w:tc>
      </w:tr>
      <w:tr w14:paraId="1CF3C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7A488CA7">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116</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389D8A1B">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基于多模态数据的眼部疾病智能诊疗关键技术研究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4D3FEFEA">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广西大学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647C9F67">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中南大学||中山大学附属第一医院广西医院</w:t>
            </w:r>
          </w:p>
        </w:tc>
      </w:tr>
      <w:tr w14:paraId="2895C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7D1245FC">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117</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6D6C8294">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color w:val="000000"/>
                <w:kern w:val="0"/>
                <w:lang w:val="en-US" w:eastAsia="zh-CN"/>
              </w:rPr>
              <w:t>基于飞秒激光</w:t>
            </w:r>
            <w:r>
              <w:rPr>
                <w:rFonts w:ascii="Times New Roman" w:hAnsi="Times New Roman" w:eastAsia="仿宋_GB2312"/>
                <w:color w:val="000000"/>
                <w:kern w:val="0"/>
                <w:lang w:val="en-US" w:eastAsia="zh-CN"/>
              </w:rPr>
              <w:t>3D</w:t>
            </w:r>
            <w:r>
              <w:rPr>
                <w:rFonts w:ascii="Times New Roman" w:hAnsi="Times New Roman" w:eastAsia="仿宋_GB2312" w:cs="Times New Roman"/>
                <w:color w:val="000000"/>
                <w:kern w:val="0"/>
                <w:lang w:val="en-US" w:eastAsia="zh-CN"/>
              </w:rPr>
              <w:t>打印技术的多模态超景深血管内成像系统研究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399A73B6">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桂林电子科技大学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717E2018">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北京大学||集美大学</w:t>
            </w:r>
          </w:p>
        </w:tc>
      </w:tr>
      <w:tr w14:paraId="064B2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317CB56F">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118</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775C1534">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文旅多模态可信数据感知与服务化计算</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7137A58F">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中南大学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20705184">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桂林电子科技大学||南京邮电大学</w:t>
            </w:r>
          </w:p>
        </w:tc>
      </w:tr>
      <w:tr w14:paraId="4E74A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143B3CB5">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119</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6BCC2B86">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color w:val="000000"/>
                <w:kern w:val="0"/>
                <w:lang w:val="en-US" w:eastAsia="zh-CN"/>
              </w:rPr>
              <w:t>近红外</w:t>
            </w:r>
            <w:r>
              <w:rPr>
                <w:rFonts w:ascii="Times New Roman" w:hAnsi="Times New Roman" w:eastAsia="仿宋_GB2312"/>
                <w:color w:val="000000"/>
                <w:kern w:val="0"/>
                <w:lang w:val="en-US" w:eastAsia="zh-CN"/>
              </w:rPr>
              <w:t>AIE</w:t>
            </w:r>
            <w:r>
              <w:rPr>
                <w:rFonts w:ascii="Times New Roman" w:hAnsi="Times New Roman" w:eastAsia="仿宋_GB2312" w:cs="Times New Roman"/>
                <w:color w:val="000000"/>
                <w:kern w:val="0"/>
                <w:lang w:val="en-US" w:eastAsia="zh-CN"/>
              </w:rPr>
              <w:t>金属有机笼与蛋白降解靶向嵌合体复合作用下的免疫应答过程示踪及其调控机制研究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266B5AE5">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西安交通大学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7432627B">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广西大学</w:t>
            </w:r>
          </w:p>
        </w:tc>
      </w:tr>
      <w:tr w14:paraId="7CEF8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2DD6480D">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120</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6FB862D6">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工程化仿生卡介苗疫苗重塑肝癌免疫微环境机制研究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6C54FC64">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厦门大学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4A0AAF08">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广西医科大学</w:t>
            </w:r>
          </w:p>
        </w:tc>
      </w:tr>
      <w:tr w14:paraId="6AE23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FFD206F">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121</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2BAC6296">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北部湾海洋药用生物中抗肿瘤先导分子的发现和成药性评价</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4D58445A">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上海交通大学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2DCF7914">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广西中医药大学</w:t>
            </w:r>
          </w:p>
        </w:tc>
      </w:tr>
      <w:tr w14:paraId="55F12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1943F59B">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122</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45DB003A">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北部湾海洋微生物来源粉蝶霉素糖苷抗肿瘤新机制和成药性优化</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68926F08">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中国科学院南海海洋研究所</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09ADFD0C">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广西中医药大学||中科中山药物创新研究院</w:t>
            </w:r>
          </w:p>
        </w:tc>
      </w:tr>
      <w:tr w14:paraId="28198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1B17BFAF">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123</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3A46F55B">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缺血性卒中后癫痫发病机制及修饰干预研究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4A670DCA">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首都医科大学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2B5FB9DF">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广西医科大学||军科正源</w:t>
            </w:r>
            <w:r>
              <w:rPr>
                <w:rFonts w:hint="eastAsia" w:ascii="Times New Roman" w:hAnsi="Times New Roman" w:eastAsia="仿宋_GB2312" w:cs="Times New Roman"/>
                <w:i w:val="0"/>
                <w:iCs w:val="0"/>
                <w:color w:val="000000"/>
                <w:kern w:val="0"/>
                <w:sz w:val="20"/>
                <w:szCs w:val="20"/>
                <w:u w:val="none"/>
                <w:lang w:val="en-US" w:eastAsia="zh-CN"/>
              </w:rPr>
              <w:t>（</w:t>
            </w:r>
            <w:r>
              <w:rPr>
                <w:rFonts w:ascii="Times New Roman" w:hAnsi="Times New Roman" w:eastAsia="仿宋_GB2312" w:cs="Times New Roman"/>
                <w:i w:val="0"/>
                <w:iCs w:val="0"/>
                <w:color w:val="000000"/>
                <w:kern w:val="0"/>
                <w:sz w:val="20"/>
                <w:szCs w:val="20"/>
                <w:u w:val="none"/>
                <w:lang w:val="en-US" w:eastAsia="zh-CN"/>
              </w:rPr>
              <w:t>广西</w:t>
            </w:r>
            <w:r>
              <w:rPr>
                <w:rFonts w:hint="eastAsia" w:ascii="Times New Roman" w:hAnsi="Times New Roman" w:eastAsia="仿宋_GB2312" w:cs="Times New Roman"/>
                <w:i w:val="0"/>
                <w:iCs w:val="0"/>
                <w:color w:val="000000"/>
                <w:kern w:val="0"/>
                <w:sz w:val="20"/>
                <w:szCs w:val="20"/>
                <w:u w:val="none"/>
                <w:lang w:val="en-US" w:eastAsia="zh-CN"/>
              </w:rPr>
              <w:t>）</w:t>
            </w:r>
            <w:r>
              <w:rPr>
                <w:rFonts w:ascii="Times New Roman" w:hAnsi="Times New Roman" w:eastAsia="仿宋_GB2312" w:cs="Times New Roman"/>
                <w:i w:val="0"/>
                <w:iCs w:val="0"/>
                <w:color w:val="000000"/>
                <w:kern w:val="0"/>
                <w:sz w:val="20"/>
                <w:szCs w:val="20"/>
                <w:u w:val="none"/>
                <w:lang w:val="en-US" w:eastAsia="zh-CN"/>
              </w:rPr>
              <w:t>生物医药科技有限公司</w:t>
            </w:r>
          </w:p>
        </w:tc>
      </w:tr>
      <w:tr w14:paraId="177E0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2FD7C740">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124</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7DB7E1CF">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基于核心功效的桂产药材绞股蓝道地品质形成机制研究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718192D6">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上海中医药大学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2EE0B43A">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中国中医科学院中药研究所||广西中医药大学</w:t>
            </w:r>
          </w:p>
        </w:tc>
      </w:tr>
      <w:tr w14:paraId="54F7B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55560CA0">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125</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3203E834">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肠道菌群及其代谢产物在环境污染物暴露致原发性膜性肾病中的作用及其机制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40D62C91">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广西医科大学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4582F929">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中国科学院生态环境研究中心</w:t>
            </w:r>
          </w:p>
        </w:tc>
      </w:tr>
      <w:tr w14:paraId="143DB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37" w:type="dxa"/>
            <w:tcBorders>
              <w:top w:val="single" w:color="000000" w:sz="4" w:space="0"/>
              <w:left w:val="single" w:color="000000" w:sz="4" w:space="0"/>
              <w:bottom w:val="single" w:color="000000" w:sz="4" w:space="0"/>
              <w:right w:val="single" w:color="000000" w:sz="4" w:space="0"/>
            </w:tcBorders>
            <w:noWrap/>
            <w:vAlign w:val="center"/>
          </w:tcPr>
          <w:p w14:paraId="1115F251">
            <w:pPr>
              <w:keepNext w:val="0"/>
              <w:keepLines w:val="0"/>
              <w:widowControl/>
              <w:suppressLineNumbers w:val="0"/>
              <w:jc w:val="center"/>
              <w:textAlignment w:val="center"/>
              <w:rPr>
                <w:rFonts w:ascii="Times New Roman" w:hAnsi="Times New Roman" w:eastAsia="仿宋_GB2312" w:cs="Times New Roman"/>
                <w:i w:val="0"/>
                <w:color w:val="000000"/>
                <w:kern w:val="0"/>
                <w:sz w:val="20"/>
                <w:szCs w:val="20"/>
                <w:u w:val="none"/>
                <w:lang w:val="en-US" w:eastAsia="zh-CN"/>
              </w:rPr>
            </w:pPr>
            <w:r>
              <w:rPr>
                <w:rFonts w:hint="eastAsia" w:ascii="Times New Roman" w:hAnsi="Times New Roman" w:eastAsia="仿宋_GB2312" w:cs="仿宋_GB2312"/>
                <w:i w:val="0"/>
                <w:iCs w:val="0"/>
                <w:color w:val="000000"/>
                <w:kern w:val="0"/>
                <w:sz w:val="24"/>
                <w:szCs w:val="24"/>
                <w:u w:val="none"/>
                <w:lang w:val="en-US" w:eastAsia="zh-CN"/>
              </w:rPr>
              <w:t>126</w:t>
            </w:r>
          </w:p>
        </w:tc>
        <w:tc>
          <w:tcPr>
            <w:tcW w:w="3885" w:type="dxa"/>
            <w:tcBorders>
              <w:top w:val="single" w:color="000000" w:sz="4" w:space="0"/>
              <w:left w:val="single" w:color="000000" w:sz="4" w:space="0"/>
              <w:bottom w:val="single" w:color="000000" w:sz="4" w:space="0"/>
              <w:right w:val="single" w:color="000000" w:sz="4" w:space="0"/>
            </w:tcBorders>
            <w:noWrap/>
            <w:vAlign w:val="center"/>
          </w:tcPr>
          <w:p w14:paraId="74BECEBB">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广西壮族自治区典型污染物暴露介导膜性肾病发病的作用及关键机制</w:t>
            </w:r>
          </w:p>
        </w:tc>
        <w:tc>
          <w:tcPr>
            <w:tcW w:w="1830" w:type="dxa"/>
            <w:tcBorders>
              <w:top w:val="single" w:color="000000" w:sz="4" w:space="0"/>
              <w:left w:val="single" w:color="000000" w:sz="4" w:space="0"/>
              <w:bottom w:val="single" w:color="000000" w:sz="4" w:space="0"/>
              <w:right w:val="single" w:color="000000" w:sz="4" w:space="0"/>
            </w:tcBorders>
            <w:noWrap/>
            <w:vAlign w:val="center"/>
          </w:tcPr>
          <w:p w14:paraId="3E3C79B6">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中山大学</w:t>
            </w:r>
          </w:p>
        </w:tc>
        <w:tc>
          <w:tcPr>
            <w:tcW w:w="3130" w:type="dxa"/>
            <w:tcBorders>
              <w:top w:val="single" w:color="000000" w:sz="4" w:space="0"/>
              <w:left w:val="single" w:color="000000" w:sz="4" w:space="0"/>
              <w:bottom w:val="single" w:color="000000" w:sz="4" w:space="0"/>
              <w:right w:val="single" w:color="000000" w:sz="4" w:space="0"/>
            </w:tcBorders>
            <w:noWrap/>
            <w:vAlign w:val="center"/>
          </w:tcPr>
          <w:p w14:paraId="7AE2D287">
            <w:pPr>
              <w:keepNext w:val="0"/>
              <w:keepLines w:val="0"/>
              <w:widowControl/>
              <w:suppressLineNumbers w:val="0"/>
              <w:spacing w:line="240" w:lineRule="exact"/>
              <w:jc w:val="left"/>
              <w:textAlignment w:val="center"/>
              <w:rPr>
                <w:rFonts w:ascii="Times New Roman" w:hAnsi="Times New Roman" w:eastAsia="仿宋_GB2312" w:cs="Times New Roman"/>
                <w:i w:val="0"/>
                <w:color w:val="000000"/>
                <w:kern w:val="0"/>
                <w:sz w:val="20"/>
                <w:szCs w:val="20"/>
                <w:u w:val="none"/>
                <w:lang w:val="en-US" w:eastAsia="zh-CN"/>
              </w:rPr>
            </w:pPr>
            <w:r>
              <w:rPr>
                <w:rFonts w:ascii="Times New Roman" w:hAnsi="Times New Roman" w:eastAsia="仿宋_GB2312" w:cs="Times New Roman"/>
                <w:i w:val="0"/>
                <w:iCs w:val="0"/>
                <w:color w:val="000000"/>
                <w:kern w:val="0"/>
                <w:sz w:val="20"/>
                <w:szCs w:val="20"/>
                <w:u w:val="none"/>
                <w:lang w:val="en-US" w:eastAsia="zh-CN"/>
              </w:rPr>
              <w:t>广西壮族自治区人民医院</w:t>
            </w:r>
          </w:p>
        </w:tc>
      </w:tr>
    </w:tbl>
    <w:p w14:paraId="19B92289">
      <w:pPr>
        <w:pStyle w:val="2"/>
        <w:rPr>
          <w:rFonts w:ascii="Times New Roman" w:hAnsi="Times New Roman"/>
        </w:rPr>
      </w:pPr>
    </w:p>
    <w:p w14:paraId="2247FD32">
      <w:pPr>
        <w:pStyle w:val="2"/>
        <w:rPr>
          <w:rFonts w:ascii="Times New Roman" w:hAnsi="Times New Roman"/>
        </w:rPr>
      </w:pPr>
    </w:p>
    <w:p w14:paraId="2C1097E6">
      <w:pPr>
        <w:pStyle w:val="2"/>
        <w:rPr>
          <w:rFonts w:ascii="Times New Roman" w:hAnsi="Times New Roman"/>
        </w:rPr>
      </w:pPr>
    </w:p>
    <w:p w14:paraId="058A69AE">
      <w:pPr>
        <w:keepNext w:val="0"/>
        <w:keepLines w:val="0"/>
        <w:pageBreakBefore w:val="0"/>
        <w:widowControl w:val="0"/>
        <w:kinsoku/>
        <w:wordWrap/>
        <w:overflowPunct/>
        <w:topLinePunct w:val="0"/>
        <w:autoSpaceDE/>
        <w:autoSpaceDN/>
        <w:bidi w:val="0"/>
        <w:adjustRightInd/>
        <w:snapToGrid/>
        <w:spacing w:line="100" w:lineRule="exact"/>
        <w:textAlignment w:val="auto"/>
        <w:rPr>
          <w:rFonts w:ascii="Times New Roman" w:hAnsi="Times New Roman"/>
        </w:rPr>
      </w:pPr>
      <w:bookmarkStart w:id="0" w:name="_GoBack"/>
      <w:bookmarkEnd w:id="0"/>
    </w:p>
    <w:sectPr>
      <w:footerReference r:id="rId3" w:type="default"/>
      <w:pgSz w:w="11906" w:h="16838"/>
      <w:pgMar w:top="2098" w:right="1531" w:bottom="1417" w:left="1531" w:header="851" w:footer="1417" w:gutter="0"/>
      <w:cols w:space="720" w:num="1"/>
      <w:rtlGutter w:val="1"/>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32700">
    <w:pPr>
      <w:pStyle w:val="8"/>
    </w:pPr>
    <w:r>
      <w:rPr>
        <w:sz w:val="18"/>
      </w:rPr>
      <mc:AlternateContent>
        <mc:Choice Requires="wps">
          <w:drawing>
            <wp:anchor distT="0" distB="0" distL="113665" distR="113665" simplePos="0" relativeHeight="251659264" behindDoc="0" locked="0" layoutInCell="1" allowOverlap="1">
              <wp:simplePos x="0" y="0"/>
              <wp:positionH relativeFrom="margin">
                <wp:align>outside</wp:align>
              </wp:positionH>
              <wp:positionV relativeFrom="paragraph">
                <wp:posOffset>0</wp:posOffset>
              </wp:positionV>
              <wp:extent cx="622300" cy="230505"/>
              <wp:effectExtent l="0" t="0" r="0" b="0"/>
              <wp:wrapNone/>
              <wp:docPr id="1" name="文本框 3"/>
              <wp:cNvGraphicFramePr/>
              <a:graphic xmlns:a="http://schemas.openxmlformats.org/drawingml/2006/main">
                <a:graphicData uri="http://schemas.microsoft.com/office/word/2010/wordprocessingShape">
                  <wps:wsp>
                    <wps:cNvSpPr/>
                    <wps:spPr>
                      <a:xfrm>
                        <a:off x="0" y="0"/>
                        <a:ext cx="622299" cy="230251"/>
                      </a:xfrm>
                      <a:prstGeom prst="rect">
                        <a:avLst/>
                      </a:prstGeom>
                      <a:noFill/>
                      <a:ln w="9525" cap="flat" cmpd="sng">
                        <a:noFill/>
                        <a:prstDash val="solid"/>
                        <a:round/>
                      </a:ln>
                      <a:effectLst/>
                    </wps:spPr>
                    <wps:txbx>
                      <w:txbxContent>
                        <w:p w14:paraId="299B8D15">
                          <w:pPr>
                            <w:pStyle w:val="8"/>
                            <w:rPr>
                              <w:rFonts w:hint="eastAsia" w:ascii="宋体" w:eastAsia="宋体" w:cs="宋体"/>
                              <w:sz w:val="28"/>
                              <w:szCs w:val="28"/>
                              <w:lang w:eastAsia="zh-CN"/>
                            </w:rPr>
                          </w:pPr>
                          <w:r>
                            <w:rPr>
                              <w:rFonts w:hint="eastAsia" w:ascii="宋体" w:eastAsia="宋体" w:cs="宋体"/>
                              <w:sz w:val="28"/>
                              <w:szCs w:val="28"/>
                              <w:lang w:eastAsia="zh-CN"/>
                            </w:rPr>
                            <w:t xml:space="preserve">— </w:t>
                          </w:r>
                          <w:r>
                            <w:rPr>
                              <w:rFonts w:ascii="Times New Roman" w:hAnsi="Times New Roman" w:eastAsia="宋体" w:cs="Times New Roman"/>
                              <w:sz w:val="28"/>
                              <w:szCs w:val="28"/>
                              <w:lang w:eastAsia="zh-CN"/>
                            </w:rPr>
                            <w:fldChar w:fldCharType="begin"/>
                          </w:r>
                          <w:r>
                            <w:rPr>
                              <w:rFonts w:ascii="Times New Roman" w:hAnsi="Times New Roman" w:eastAsia="宋体" w:cs="Times New Roman"/>
                              <w:sz w:val="28"/>
                              <w:szCs w:val="28"/>
                              <w:lang w:eastAsia="zh-CN"/>
                            </w:rPr>
                            <w:instrText xml:space="preserve"> PAGE  \* MERGEFORMAT </w:instrText>
                          </w:r>
                          <w:r>
                            <w:rPr>
                              <w:rFonts w:ascii="Times New Roman" w:hAnsi="Times New Roman" w:eastAsia="宋体" w:cs="Times New Roman"/>
                              <w:sz w:val="28"/>
                              <w:szCs w:val="28"/>
                              <w:lang w:eastAsia="zh-CN"/>
                            </w:rPr>
                            <w:fldChar w:fldCharType="separate"/>
                          </w:r>
                          <w:r>
                            <w:rPr>
                              <w:rFonts w:ascii="Times New Roman" w:hAnsi="Times New Roman" w:eastAsia="宋体" w:cs="Times New Roman"/>
                              <w:sz w:val="28"/>
                              <w:szCs w:val="28"/>
                              <w:lang w:eastAsia="zh-CN"/>
                            </w:rPr>
                            <w:t>1</w:t>
                          </w:r>
                          <w:r>
                            <w:rPr>
                              <w:rFonts w:ascii="Times New Roman" w:hAnsi="Times New Roman" w:eastAsia="宋体" w:cs="Times New Roman"/>
                              <w:sz w:val="28"/>
                              <w:szCs w:val="28"/>
                              <w:lang w:eastAsia="zh-CN"/>
                            </w:rPr>
                            <w:fldChar w:fldCharType="end"/>
                          </w:r>
                          <w:r>
                            <w:rPr>
                              <w:rFonts w:hint="eastAsia" w:ascii="宋体" w:eastAsia="宋体" w:cs="宋体"/>
                              <w:sz w:val="28"/>
                              <w:szCs w:val="28"/>
                              <w:lang w:eastAsia="zh-CN"/>
                            </w:rPr>
                            <w:t xml:space="preserve"> —</w:t>
                          </w:r>
                        </w:p>
                      </w:txbxContent>
                    </wps:txbx>
                    <wps:bodyPr vert="horz" wrap="none" lIns="0" tIns="0" rIns="0" bIns="0" anchor="t" anchorCtr="0" upright="0">
                      <a:spAutoFit/>
                    </wps:bodyPr>
                  </wps:wsp>
                </a:graphicData>
              </a:graphic>
            </wp:anchor>
          </w:drawing>
        </mc:Choice>
        <mc:Fallback>
          <w:pict>
            <v:rect id="文本框 3" o:spid="_x0000_s1026" o:spt="1" style="position:absolute;left:0pt;margin-top:0pt;height:18.15pt;width:49pt;mso-position-horizontal:outside;mso-position-horizontal-relative:margin;mso-wrap-style:none;z-index:251659264;mso-width-relative:page;mso-height-relative:page;" filled="f" stroked="f" coordsize="21600,21600" o:gfxdata="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5yE/DRAAAAAwEAAA8AAAAAAAAAAQAgAAAAIgAAAGRycy9k&#10;b3ducmV2LnhtbFBLAQIUABQAAAAIAIdO4kDcnwSDCQIAAAIEAAAOAAAAAAAAAAEAIAAAACABAABk&#10;cnMvZTJvRG9jLnhtbFBLBQYAAAAABgAGAFkBAACbBQAAAAA=&#10;">
              <v:fill on="f" focussize="0,0"/>
              <v:stroke on="f" joinstyle="round"/>
              <v:imagedata o:title=""/>
              <o:lock v:ext="edit" aspectratio="f"/>
              <v:textbox inset="0mm,0mm,0mm,0mm" style="mso-fit-shape-to-text:t;">
                <w:txbxContent>
                  <w:p w14:paraId="299B8D15">
                    <w:pPr>
                      <w:pStyle w:val="8"/>
                      <w:rPr>
                        <w:rFonts w:hint="eastAsia" w:ascii="宋体" w:eastAsia="宋体" w:cs="宋体"/>
                        <w:sz w:val="28"/>
                        <w:szCs w:val="28"/>
                        <w:lang w:eastAsia="zh-CN"/>
                      </w:rPr>
                    </w:pPr>
                    <w:r>
                      <w:rPr>
                        <w:rFonts w:hint="eastAsia" w:ascii="宋体" w:eastAsia="宋体" w:cs="宋体"/>
                        <w:sz w:val="28"/>
                        <w:szCs w:val="28"/>
                        <w:lang w:eastAsia="zh-CN"/>
                      </w:rPr>
                      <w:t xml:space="preserve">— </w:t>
                    </w:r>
                    <w:r>
                      <w:rPr>
                        <w:rFonts w:ascii="Times New Roman" w:hAnsi="Times New Roman" w:eastAsia="宋体" w:cs="Times New Roman"/>
                        <w:sz w:val="28"/>
                        <w:szCs w:val="28"/>
                        <w:lang w:eastAsia="zh-CN"/>
                      </w:rPr>
                      <w:fldChar w:fldCharType="begin"/>
                    </w:r>
                    <w:r>
                      <w:rPr>
                        <w:rFonts w:ascii="Times New Roman" w:hAnsi="Times New Roman" w:eastAsia="宋体" w:cs="Times New Roman"/>
                        <w:sz w:val="28"/>
                        <w:szCs w:val="28"/>
                        <w:lang w:eastAsia="zh-CN"/>
                      </w:rPr>
                      <w:instrText xml:space="preserve"> PAGE  \* MERGEFORMAT </w:instrText>
                    </w:r>
                    <w:r>
                      <w:rPr>
                        <w:rFonts w:ascii="Times New Roman" w:hAnsi="Times New Roman" w:eastAsia="宋体" w:cs="Times New Roman"/>
                        <w:sz w:val="28"/>
                        <w:szCs w:val="28"/>
                        <w:lang w:eastAsia="zh-CN"/>
                      </w:rPr>
                      <w:fldChar w:fldCharType="separate"/>
                    </w:r>
                    <w:r>
                      <w:rPr>
                        <w:rFonts w:ascii="Times New Roman" w:hAnsi="Times New Roman" w:eastAsia="宋体" w:cs="Times New Roman"/>
                        <w:sz w:val="28"/>
                        <w:szCs w:val="28"/>
                        <w:lang w:eastAsia="zh-CN"/>
                      </w:rPr>
                      <w:t>1</w:t>
                    </w:r>
                    <w:r>
                      <w:rPr>
                        <w:rFonts w:ascii="Times New Roman" w:hAnsi="Times New Roman" w:eastAsia="宋体" w:cs="Times New Roman"/>
                        <w:sz w:val="28"/>
                        <w:szCs w:val="28"/>
                        <w:lang w:eastAsia="zh-CN"/>
                      </w:rPr>
                      <w:fldChar w:fldCharType="end"/>
                    </w:r>
                    <w:r>
                      <w:rPr>
                        <w:rFonts w:hint="eastAsia" w:ascii="宋体" w:eastAsia="宋体" w:cs="宋体"/>
                        <w:sz w:val="28"/>
                        <w:szCs w:val="28"/>
                        <w:lang w:eastAsia="zh-CN"/>
                      </w:rPr>
                      <w:t xml:space="preserve"> —</w:t>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dit="readOnly" w:enforcement="0"/>
  <w:defaultTabStop w:val="420"/>
  <w:hyphenationZone w:val="360"/>
  <w:drawingGridHorizontalSpacing w:val="102"/>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0000000"/>
    <w:rsid w:val="2B951D33"/>
    <w:rsid w:val="3CB973CB"/>
    <w:rsid w:val="3F6F097F"/>
    <w:rsid w:val="400F3476"/>
    <w:rsid w:val="4D3FECA4"/>
    <w:rsid w:val="5DC842C3"/>
    <w:rsid w:val="67D9A510"/>
    <w:rsid w:val="76BF9972"/>
    <w:rsid w:val="7718626D"/>
    <w:rsid w:val="7FFE9649"/>
    <w:rsid w:val="A7FD7F46"/>
    <w:rsid w:val="D27F694B"/>
    <w:rsid w:val="D7FD9A9B"/>
    <w:rsid w:val="DF7DCC6B"/>
    <w:rsid w:val="F9F2CCF7"/>
    <w:rsid w:val="FFBDF1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5" w:lineRule="auto"/>
      <w:outlineLvl w:val="1"/>
    </w:pPr>
    <w:rPr>
      <w:rFonts w:ascii="Times New Roman" w:hAnsi="Times New Roman" w:eastAsia="黑体"/>
      <w:b/>
      <w:bCs/>
      <w:sz w:val="32"/>
      <w:szCs w:val="32"/>
    </w:rPr>
  </w:style>
  <w:style w:type="paragraph" w:styleId="5">
    <w:name w:val="heading 3"/>
    <w:basedOn w:val="1"/>
    <w:next w:val="1"/>
    <w:qFormat/>
    <w:uiPriority w:val="0"/>
    <w:pPr>
      <w:keepNext/>
      <w:keepLines/>
      <w:spacing w:before="260" w:after="260" w:line="415" w:lineRule="auto"/>
      <w:outlineLvl w:val="2"/>
    </w:pPr>
    <w:rPr>
      <w:b/>
      <w:bCs/>
      <w:sz w:val="32"/>
      <w:szCs w:val="32"/>
    </w:rPr>
  </w:style>
  <w:style w:type="character" w:default="1" w:styleId="14">
    <w:name w:val="Default Paragraph Font"/>
    <w:qFormat/>
    <w:uiPriority w:val="0"/>
  </w:style>
  <w:style w:type="table" w:default="1" w:styleId="12">
    <w:name w:val="Normal Table"/>
    <w:semiHidden/>
    <w:qFormat/>
    <w:uiPriority w:val="0"/>
    <w:tblPr>
      <w:tblStyle w:val="12"/>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6">
    <w:name w:val="annotation text"/>
    <w:basedOn w:val="1"/>
    <w:qFormat/>
    <w:uiPriority w:val="0"/>
    <w:pPr>
      <w:jc w:val="left"/>
    </w:pPr>
  </w:style>
  <w:style w:type="paragraph" w:styleId="7">
    <w:name w:val="Body Text"/>
    <w:basedOn w:val="1"/>
    <w:uiPriority w:val="0"/>
    <w:rPr>
      <w:rFonts w:ascii="仿宋" w:eastAsia="仿宋" w:cs="仿宋"/>
      <w:sz w:val="60"/>
      <w:szCs w:val="60"/>
      <w:lang w:val="en-US" w:bidi="ar-SA"/>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Normal (Web)"/>
    <w:basedOn w:val="1"/>
    <w:qFormat/>
    <w:uiPriority w:val="0"/>
    <w:pPr>
      <w:widowControl/>
      <w:spacing w:before="100" w:beforeAutospacing="1" w:after="100" w:afterAutospacing="1"/>
      <w:jc w:val="left"/>
    </w:pPr>
    <w:rPr>
      <w:rFonts w:ascii="宋体" w:cs="宋体"/>
      <w:kern w:val="0"/>
      <w:sz w:val="24"/>
      <w:szCs w:val="24"/>
    </w:rPr>
  </w:style>
  <w:style w:type="paragraph" w:styleId="10">
    <w:name w:val="Title"/>
    <w:basedOn w:val="1"/>
    <w:next w:val="1"/>
    <w:qFormat/>
    <w:uiPriority w:val="0"/>
    <w:pPr>
      <w:spacing w:before="240" w:after="60"/>
      <w:jc w:val="center"/>
      <w:outlineLvl w:val="0"/>
    </w:pPr>
    <w:rPr>
      <w:rFonts w:ascii="Calibri Light" w:hAnsi="Calibri Light" w:cs="黑体"/>
      <w:b/>
      <w:bCs/>
      <w:sz w:val="32"/>
      <w:szCs w:val="32"/>
    </w:rPr>
  </w:style>
  <w:style w:type="paragraph" w:styleId="11">
    <w:name w:val="annotation subject"/>
    <w:basedOn w:val="6"/>
    <w:next w:val="6"/>
    <w:qFormat/>
    <w:uiPriority w:val="0"/>
    <w:rPr>
      <w:b/>
    </w:rPr>
  </w:style>
  <w:style w:type="table" w:styleId="13">
    <w:name w:val="Table Grid"/>
    <w:basedOn w:val="12"/>
    <w:qFormat/>
    <w:uiPriority w:val="59"/>
    <w:tblPr>
      <w:tblStyle w:val="1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b/>
    </w:rPr>
  </w:style>
  <w:style w:type="character" w:customStyle="1" w:styleId="16">
    <w:name w:val="font41"/>
    <w:basedOn w:val="14"/>
    <w:qFormat/>
    <w:uiPriority w:val="0"/>
    <w:rPr>
      <w:rFonts w:ascii="Times New Roman" w:hAnsi="Times New Roman" w:cs="Times New Roman"/>
      <w:color w:val="000000"/>
      <w:sz w:val="24"/>
      <w:szCs w:val="24"/>
      <w:u w:val="none"/>
    </w:rPr>
  </w:style>
  <w:style w:type="character" w:customStyle="1" w:styleId="17">
    <w:name w:val="font51"/>
    <w:basedOn w:val="14"/>
    <w:qFormat/>
    <w:uiPriority w:val="0"/>
    <w:rPr>
      <w:rFonts w:ascii="仿宋_GB2312" w:eastAsia="仿宋_GB2312" w:cs="仿宋_GB2312"/>
      <w:color w:val="000000"/>
      <w:sz w:val="22"/>
      <w:szCs w:val="22"/>
      <w:u w:val="none"/>
    </w:rPr>
  </w:style>
  <w:style w:type="character" w:customStyle="1" w:styleId="18">
    <w:name w:val="font61"/>
    <w:basedOn w:val="14"/>
    <w:uiPriority w:val="0"/>
    <w:rPr>
      <w:rFonts w:ascii="仿宋_GB2312" w:eastAsia="仿宋_GB2312" w:cs="仿宋_GB2312"/>
      <w:color w:val="000000"/>
      <w:sz w:val="20"/>
      <w:szCs w:val="20"/>
      <w:u w:val="none"/>
    </w:rPr>
  </w:style>
  <w:style w:type="character" w:customStyle="1" w:styleId="19">
    <w:name w:val="font21"/>
    <w:basedOn w:val="14"/>
    <w:qFormat/>
    <w:uiPriority w:val="0"/>
    <w:rPr>
      <w:rFonts w:ascii="宋体" w:eastAsia="宋体" w:cs="宋体"/>
      <w:color w:val="000000"/>
      <w:sz w:val="20"/>
      <w:szCs w:val="20"/>
      <w:u w:val="none"/>
    </w:rPr>
  </w:style>
  <w:style w:type="character" w:customStyle="1" w:styleId="20">
    <w:name w:val="font31"/>
    <w:basedOn w:val="14"/>
    <w:qFormat/>
    <w:uiPriority w:val="0"/>
    <w:rPr>
      <w:rFonts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7</Pages>
  <Words>2705</Words>
  <Characters>2829</Characters>
  <Lines>1021</Lines>
  <Paragraphs>639</Paragraphs>
  <TotalTime>17.6666666666667</TotalTime>
  <ScaleCrop>false</ScaleCrop>
  <LinksUpToDate>false</LinksUpToDate>
  <CharactersWithSpaces>2867</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2025-02-13T02:01:00Z</dcterms:created>
  <dc:creator>黄美华</dc:creator>
  <cp:lastModifiedBy>墨迹夏子</cp:lastModifiedBy>
  <cp:lastPrinted>2025-02-13T00:09:29Z</cp:lastPrinted>
  <dcterms:modified xsi:type="dcterms:W3CDTF">2025-02-12T08:54:13Z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47B052F151264FC9BF5305A079CCE694_13</vt:lpwstr>
  </property>
  <property fmtid="{D5CDD505-2E9C-101B-9397-08002B2CF9AE}" pid="4" name="KSOTemplateDocerSaveRecord">
    <vt:lpwstr>eyJoZGlkIjoiYzY5ZDFkYjAwZjNhYTM1NDBlZTczZjFiNGMyNzYxN2IiLCJ1c2VySWQiOiIzNjAwMjk3NDgifQ==</vt:lpwstr>
  </property>
</Properties>
</file>